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13" w:rsidRDefault="00137E3C">
      <w:pPr>
        <w:spacing w:before="57" w:after="57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PROJEKT 9/5</w:t>
      </w:r>
      <w:bookmarkStart w:id="0" w:name="_GoBack"/>
      <w:bookmarkEnd w:id="0"/>
    </w:p>
    <w:p w:rsidR="00EA5A13" w:rsidRDefault="00137E3C">
      <w:pPr>
        <w:spacing w:before="57" w:after="57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>UCHWAŁA Nr V/   /2019</w:t>
      </w:r>
    </w:p>
    <w:p w:rsidR="00EA5A13" w:rsidRDefault="00137E3C">
      <w:pPr>
        <w:spacing w:before="57" w:after="57" w:line="276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RADY MIEJSKIEJ W MROCZY</w:t>
      </w:r>
    </w:p>
    <w:p w:rsidR="00EA5A13" w:rsidRDefault="00137E3C">
      <w:pPr>
        <w:spacing w:before="57" w:after="57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dnia ………………... 2019 r</w:t>
      </w:r>
      <w:r>
        <w:rPr>
          <w:rFonts w:ascii="Times New Roman" w:hAnsi="Times New Roman"/>
          <w:color w:val="000000"/>
        </w:rPr>
        <w:t>.</w:t>
      </w:r>
    </w:p>
    <w:p w:rsidR="00EA5A13" w:rsidRDefault="00EA5A13">
      <w:pPr>
        <w:spacing w:before="57" w:after="57" w:line="276" w:lineRule="auto"/>
        <w:rPr>
          <w:rFonts w:ascii="Times New Roman" w:hAnsi="Times New Roman"/>
          <w:b/>
        </w:rPr>
      </w:pPr>
    </w:p>
    <w:p w:rsidR="00EA5A13" w:rsidRDefault="00137E3C">
      <w:pPr>
        <w:spacing w:before="57" w:after="57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 sprawie wyrażenia zgody na kontynuacje dzierżawy części nieruchomości gruntowej położonej w obrębie ewidencyjnym Ostrowo gm. Mrocza, oznaczonej numerem ewidencyjnym 209/9, o</w:t>
      </w:r>
      <w:r>
        <w:rPr>
          <w:rFonts w:ascii="Times New Roman" w:hAnsi="Times New Roman"/>
          <w:b/>
        </w:rPr>
        <w:t xml:space="preserve"> pow. 0,080 ha, stanowiącej własność Gminy Mrocza na której znajduje się stacja bazowa telefonii komórkowej</w:t>
      </w:r>
    </w:p>
    <w:p w:rsidR="00EA5A13" w:rsidRDefault="00EA5A13">
      <w:pPr>
        <w:spacing w:before="57" w:after="57" w:line="276" w:lineRule="auto"/>
        <w:jc w:val="both"/>
        <w:rPr>
          <w:rFonts w:ascii="Times New Roman" w:hAnsi="Times New Roman"/>
          <w:b/>
        </w:rPr>
      </w:pPr>
    </w:p>
    <w:p w:rsidR="00EA5A13" w:rsidRDefault="00137E3C">
      <w:pPr>
        <w:pStyle w:val="Tekstpodstawowy"/>
        <w:spacing w:before="113" w:after="113" w:line="276" w:lineRule="auto"/>
        <w:jc w:val="both"/>
        <w:rPr>
          <w:rFonts w:hint="eastAsia"/>
        </w:rPr>
      </w:pPr>
      <w:r>
        <w:rPr>
          <w:rFonts w:ascii="Times New Roman" w:hAnsi="Times New Roman"/>
        </w:rPr>
        <w:tab/>
        <w:t xml:space="preserve">Na podstawie art.18 ust. 2 pkt.9 lit. ”a” ustawy z dnia 8 marca 1990r. o samorządzie gminnym </w:t>
      </w:r>
      <w:r>
        <w:rPr>
          <w:rFonts w:ascii="Times New Roman" w:hAnsi="Times New Roman"/>
        </w:rPr>
        <w:t xml:space="preserve">(tj. </w:t>
      </w:r>
      <w:r>
        <w:rPr>
          <w:rFonts w:ascii="Times New Roman" w:hAnsi="Times New Roman"/>
        </w:rPr>
        <w:t>Dz. U. 2018r. poz. 994 ze zm.</w:t>
      </w:r>
      <w:r>
        <w:rPr>
          <w:rStyle w:val="Zakotwiczenieprzypisudolnego"/>
          <w:rFonts w:ascii="Times New Roman" w:hAnsi="Times New Roman"/>
        </w:rPr>
        <w:footnoteReference w:id="1"/>
      </w:r>
      <w:r>
        <w:rPr>
          <w:rFonts w:ascii="Times New Roman" w:hAnsi="Times New Roman"/>
        </w:rPr>
        <w:t xml:space="preserve">), art. 13 ust. 2 </w:t>
      </w:r>
      <w:r>
        <w:rPr>
          <w:rFonts w:ascii="Times New Roman" w:hAnsi="Times New Roman"/>
        </w:rPr>
        <w:t>ustawy z dnia 21 sierpnia 1997r. o gospodarce nieruchomościami (</w:t>
      </w:r>
      <w:r>
        <w:rPr>
          <w:rFonts w:ascii="Times New Roman" w:hAnsi="Times New Roman"/>
          <w:color w:val="000000"/>
        </w:rPr>
        <w:t>tj. Dz. U. 2018</w:t>
      </w:r>
      <w:r>
        <w:rPr>
          <w:rStyle w:val="Mocnowyrniony"/>
          <w:rFonts w:ascii="Times New Roman" w:hAnsi="Times New Roman"/>
          <w:b w:val="0"/>
          <w:bCs w:val="0"/>
          <w:color w:val="000000"/>
        </w:rPr>
        <w:t>r.</w:t>
      </w:r>
      <w:r>
        <w:rPr>
          <w:rStyle w:val="Mocnowyrniony"/>
          <w:rFonts w:ascii="Times New Roman" w:hAnsi="Times New Roman"/>
          <w:color w:val="000000"/>
        </w:rPr>
        <w:t xml:space="preserve"> </w:t>
      </w:r>
      <w:r>
        <w:rPr>
          <w:rStyle w:val="Mocnowyrniony"/>
          <w:rFonts w:ascii="Times New Roman" w:hAnsi="Times New Roman"/>
          <w:b w:val="0"/>
          <w:color w:val="000000"/>
        </w:rPr>
        <w:t>poz. 2204</w:t>
      </w:r>
      <w:r>
        <w:rPr>
          <w:rFonts w:ascii="Times New Roman" w:hAnsi="Times New Roman"/>
          <w:color w:val="000000"/>
        </w:rPr>
        <w:t xml:space="preserve"> ze zm.</w:t>
      </w:r>
      <w:r>
        <w:rPr>
          <w:rStyle w:val="Zakotwiczenieprzypisudolnego"/>
          <w:rFonts w:ascii="Times New Roman" w:hAnsi="Times New Roman"/>
          <w:color w:val="000000"/>
        </w:rPr>
        <w:footnoteReference w:id="2"/>
      </w:r>
      <w:r>
        <w:rPr>
          <w:rFonts w:ascii="Times New Roman" w:hAnsi="Times New Roman"/>
        </w:rPr>
        <w:t>),</w:t>
      </w:r>
      <w:r>
        <w:rPr>
          <w:rFonts w:ascii="Times New Roman" w:hAnsi="Times New Roman"/>
        </w:rPr>
        <w:t xml:space="preserve"> </w:t>
      </w:r>
    </w:p>
    <w:p w:rsidR="00EA5A13" w:rsidRDefault="00EA5A13">
      <w:pPr>
        <w:spacing w:before="113" w:after="113" w:line="276" w:lineRule="auto"/>
        <w:jc w:val="both"/>
        <w:rPr>
          <w:rFonts w:ascii="Times New Roman" w:hAnsi="Times New Roman"/>
          <w:b/>
        </w:rPr>
      </w:pPr>
    </w:p>
    <w:p w:rsidR="00EA5A13" w:rsidRDefault="00137E3C">
      <w:pPr>
        <w:spacing w:before="113" w:after="113" w:line="276" w:lineRule="auto"/>
        <w:jc w:val="both"/>
        <w:rPr>
          <w:rFonts w:hint="eastAsia"/>
        </w:rPr>
      </w:pPr>
      <w:r>
        <w:rPr>
          <w:rFonts w:ascii="Times New Roman" w:hAnsi="Times New Roman"/>
          <w:b/>
        </w:rPr>
        <w:tab/>
        <w:t>§ 1.</w:t>
      </w:r>
      <w:r>
        <w:rPr>
          <w:rFonts w:ascii="Times New Roman" w:hAnsi="Times New Roman"/>
        </w:rPr>
        <w:t>Wyraża się zgodę przedłużenie dzierżawy na następny okres 10 lat na rzecz P4</w:t>
      </w:r>
      <w:r>
        <w:rPr>
          <w:rFonts w:ascii="Times New Roman" w:hAnsi="Times New Roman"/>
        </w:rPr>
        <w:t xml:space="preserve"> Sp. z o.o. z siedzibą w Warszawie ul. Taśmowa 7, 02-677 Warszawa części nieruchomości gruntowej położonej w obrębie ewidencyjnym Ostrowo gm. Mrocza, oznaczonej numerem ewidencyjnym 209/9, o pow. 0,0080 ha, zapisanej w KW BY1N/00011327/7, prowadzonej przez</w:t>
      </w:r>
      <w:r>
        <w:rPr>
          <w:rFonts w:ascii="Times New Roman" w:hAnsi="Times New Roman"/>
        </w:rPr>
        <w:t xml:space="preserve"> Sąd Rejonowy IV Wydział Ksiąg Wieczystych w Nakle nad Notecią, stanowiącej własność Gminy Mrocza, na której znajduje się stacja bazowa telefonii komórkowej. </w:t>
      </w:r>
    </w:p>
    <w:p w:rsidR="00EA5A13" w:rsidRDefault="00137E3C">
      <w:pPr>
        <w:spacing w:before="113" w:after="113" w:line="276" w:lineRule="auto"/>
        <w:rPr>
          <w:rFonts w:hint="eastAsia"/>
        </w:rPr>
      </w:pPr>
      <w:r>
        <w:rPr>
          <w:rFonts w:ascii="Times New Roman" w:hAnsi="Times New Roman"/>
          <w:b/>
        </w:rPr>
        <w:tab/>
        <w:t xml:space="preserve">§ 2. </w:t>
      </w:r>
      <w:r>
        <w:rPr>
          <w:rFonts w:ascii="Times New Roman" w:hAnsi="Times New Roman"/>
        </w:rPr>
        <w:t>Wykonanie uchwały powierza się Burmistrzowi Miasta i Gminy w Mroczy.</w:t>
      </w:r>
    </w:p>
    <w:p w:rsidR="00EA5A13" w:rsidRDefault="00137E3C">
      <w:pPr>
        <w:spacing w:before="113" w:after="113"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 xml:space="preserve">§ 3. </w:t>
      </w:r>
      <w:r>
        <w:rPr>
          <w:rFonts w:ascii="Times New Roman" w:hAnsi="Times New Roman"/>
        </w:rPr>
        <w:t xml:space="preserve">Uchwała wchodzi </w:t>
      </w:r>
      <w:r>
        <w:rPr>
          <w:rFonts w:ascii="Times New Roman" w:hAnsi="Times New Roman"/>
        </w:rPr>
        <w:t>w życie z dniem podjęcia i podlega ogłoszeniu w sposób zwyczajowo przyjęty na terenie Gminy Mrocza.</w:t>
      </w:r>
    </w:p>
    <w:p w:rsidR="00EA5A13" w:rsidRDefault="00137E3C">
      <w:pPr>
        <w:spacing w:before="113" w:after="113" w:line="276" w:lineRule="auto"/>
        <w:rPr>
          <w:rFonts w:ascii="Times New Roman" w:hAnsi="Times New Roman"/>
          <w:b/>
        </w:rPr>
      </w:pPr>
      <w:r>
        <w:br w:type="page"/>
      </w:r>
    </w:p>
    <w:p w:rsidR="00EA5A13" w:rsidRDefault="00137E3C">
      <w:pPr>
        <w:spacing w:before="113" w:after="113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Uzasadnienie</w:t>
      </w:r>
      <w:r>
        <w:rPr>
          <w:rFonts w:ascii="Times New Roman" w:hAnsi="Times New Roman"/>
          <w:b/>
        </w:rPr>
        <w:br/>
      </w:r>
    </w:p>
    <w:p w:rsidR="00EA5A13" w:rsidRDefault="00137E3C">
      <w:pPr>
        <w:spacing w:before="113" w:after="113" w:line="276" w:lineRule="auto"/>
        <w:jc w:val="both"/>
        <w:rPr>
          <w:rFonts w:hint="eastAsia"/>
        </w:rPr>
      </w:pPr>
      <w:r>
        <w:rPr>
          <w:rFonts w:ascii="Times New Roman" w:hAnsi="Times New Roman"/>
        </w:rPr>
        <w:tab/>
        <w:t>Zgodnie z art. 13 ust. 1 ustawy z dnia 21 sierpnia 1997r. o gospodarce nieruchomościami stanowi, że nieruchomości mogą być przedmiotem m.in</w:t>
      </w:r>
      <w:r>
        <w:rPr>
          <w:rFonts w:ascii="Times New Roman" w:hAnsi="Times New Roman"/>
        </w:rPr>
        <w:t>. dzierżawy. Gmina Mrocza jest właścicielem nieruchomości gruntowej położonej w obrębie ewidencyjnym Ostrowo oznaczonej numerem ewidencyjnym 209/9, o pow. 0,0080 ha, zapisanej w KW BY1N/00011327/7, prowadzonej  przez Sąd Rejonowy IV Wydziale Ksiąg Wieczyst</w:t>
      </w:r>
      <w:r>
        <w:rPr>
          <w:rFonts w:ascii="Times New Roman" w:hAnsi="Times New Roman"/>
        </w:rPr>
        <w:t xml:space="preserve">ych w Nakle nad Notecią. </w:t>
      </w:r>
    </w:p>
    <w:p w:rsidR="00EA5A13" w:rsidRDefault="00137E3C">
      <w:pPr>
        <w:spacing w:before="113" w:after="113" w:line="276" w:lineRule="auto"/>
        <w:jc w:val="both"/>
        <w:rPr>
          <w:rFonts w:hint="eastAsia"/>
        </w:rPr>
      </w:pPr>
      <w:r>
        <w:rPr>
          <w:rFonts w:ascii="Times New Roman" w:hAnsi="Times New Roman"/>
        </w:rPr>
        <w:tab/>
        <w:t xml:space="preserve">Część wyżej wymienionej działki o powierzchni 0,0080 ha przez okres 10 lat była dzierżawiona przez firmę P4 Sp. z o.o.z siedzibą w Warszawie ul. Taśmowa 7, 02-677 Warszawa, z przeznaczeniem pod stację bazową telefonii komórkowej </w:t>
      </w:r>
      <w:r>
        <w:rPr>
          <w:rFonts w:ascii="Times New Roman" w:hAnsi="Times New Roman"/>
        </w:rPr>
        <w:t xml:space="preserve">oraz maszt telekomunikacyjny. Poprzednia umowa dzierżawy na okres 10 lat tj. od dnia 27 lutego 2009 r. do 27 lutego 2019r. została zawarta w związku z Uchwałą Nr XXXI/5/09 Rady Miejskiej w Mroczy z dnia 23 stycznia 2009 r. w sprawie wydzierżawienia części </w:t>
      </w:r>
      <w:r>
        <w:rPr>
          <w:rFonts w:ascii="Times New Roman" w:hAnsi="Times New Roman"/>
        </w:rPr>
        <w:t>działki nr 209/2 położonej we wsi Ostrowo gm. Mrocza. Działka nr 209/2 została podzielona, w związku z tym przedmiotowa stacja bazowa znajduję się aktualnie na działce nr 209/9. W ciągu tych lat firma poniosła znaczne nakłady związane z uruchomieniem i mod</w:t>
      </w:r>
      <w:r>
        <w:rPr>
          <w:rFonts w:ascii="Times New Roman" w:hAnsi="Times New Roman"/>
        </w:rPr>
        <w:t>ernizacją stacji bazowej telefonii komórkowej. P4 Sp. z o.o. wystąpiło z wnioskiem dotyczącym kontynuacji dzierżawy. Nie ma podstaw, aby wyżej wymienionym obiektem zarządzał inny podmiot.</w:t>
      </w:r>
    </w:p>
    <w:p w:rsidR="00EA5A13" w:rsidRDefault="00137E3C">
      <w:pPr>
        <w:spacing w:before="113" w:after="113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Wobec powyższego uchwałę uważa się za zasadną.</w:t>
      </w:r>
    </w:p>
    <w:p w:rsidR="00EA5A13" w:rsidRDefault="00EA5A13">
      <w:pPr>
        <w:spacing w:before="113" w:after="113" w:line="276" w:lineRule="auto"/>
        <w:jc w:val="both"/>
        <w:rPr>
          <w:rFonts w:hint="eastAsia"/>
        </w:rPr>
      </w:pPr>
    </w:p>
    <w:sectPr w:rsidR="00EA5A13">
      <w:pgSz w:w="12240" w:h="15840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37E3C">
      <w:pPr>
        <w:rPr>
          <w:rFonts w:hint="eastAsia"/>
        </w:rPr>
      </w:pPr>
      <w:r>
        <w:separator/>
      </w:r>
    </w:p>
  </w:endnote>
  <w:endnote w:type="continuationSeparator" w:id="0">
    <w:p w:rsidR="00000000" w:rsidRDefault="00137E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A13" w:rsidRDefault="00137E3C">
      <w:pPr>
        <w:rPr>
          <w:rFonts w:hint="eastAsia"/>
        </w:rPr>
      </w:pPr>
      <w:r>
        <w:separator/>
      </w:r>
    </w:p>
  </w:footnote>
  <w:footnote w:type="continuationSeparator" w:id="0">
    <w:p w:rsidR="00EA5A13" w:rsidRDefault="00137E3C">
      <w:pPr>
        <w:rPr>
          <w:rFonts w:hint="eastAsia"/>
        </w:rPr>
      </w:pPr>
      <w:r>
        <w:continuationSeparator/>
      </w:r>
    </w:p>
  </w:footnote>
  <w:footnote w:id="1">
    <w:p w:rsidR="00EA5A13" w:rsidRDefault="00137E3C">
      <w:pPr>
        <w:pStyle w:val="Tekstprzypisudolnego"/>
        <w:rPr>
          <w:rFonts w:hint="eastAsia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</w:rPr>
        <w:tab/>
        <w:t>Zmiany tekstu jednolitego wymienionej ustawy ogłoszono w Dz.U. z 2018r. poz.1000, poz.1349, poz.1432, poz. 2500</w:t>
      </w:r>
    </w:p>
  </w:footnote>
  <w:footnote w:id="2">
    <w:p w:rsidR="00EA5A13" w:rsidRDefault="00137E3C">
      <w:pPr>
        <w:pStyle w:val="Tekstprzypisudolnego"/>
        <w:rPr>
          <w:rFonts w:hint="eastAsia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  <w:color w:val="000000"/>
        </w:rPr>
        <w:tab/>
        <w:t xml:space="preserve">Zmiany tekstu jednolitego wymienionej ustawy zostały ogłoszone w </w:t>
      </w:r>
      <w:r>
        <w:rPr>
          <w:rFonts w:ascii="Times New Roman" w:hAnsi="Times New Roman"/>
          <w:color w:val="000000"/>
        </w:rPr>
        <w:t>Dz. U. z 2018r. poz. 2348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5A13"/>
    <w:rsid w:val="00137E3C"/>
    <w:rsid w:val="00EA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389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Agnieszkad</cp:lastModifiedBy>
  <cp:revision>7</cp:revision>
  <cp:lastPrinted>2019-02-06T09:12:00Z</cp:lastPrinted>
  <dcterms:created xsi:type="dcterms:W3CDTF">2017-10-20T23:40:00Z</dcterms:created>
  <dcterms:modified xsi:type="dcterms:W3CDTF">2019-02-20T12:11:00Z</dcterms:modified>
  <dc:language>pl-PL</dc:language>
</cp:coreProperties>
</file>